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62CC">
      <w:pPr>
        <w:pStyle w:val="Heading1"/>
        <w:spacing w:after="0"/>
        <w:ind w:left="1627"/>
        <w:rPr>
          <w:b/>
          <w:bCs/>
          <w:sz w:val="48"/>
        </w:rPr>
      </w:pPr>
      <w:r>
        <w:rPr>
          <w:b/>
          <w:bCs/>
          <w:sz w:val="48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70485</wp:posOffset>
            </wp:positionV>
            <wp:extent cx="916940" cy="900430"/>
            <wp:effectExtent l="0" t="0" r="0" b="0"/>
            <wp:wrapNone/>
            <wp:docPr id="136" name="Picture 136" descr="n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nt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</w:rPr>
        <w:t>Six Key Strategies for Secondary Teachers</w:t>
      </w:r>
      <w:r>
        <w:rPr>
          <w:b/>
          <w:bCs/>
          <w:sz w:val="48"/>
        </w:rPr>
        <w:br w:type="textWrapping" w:clear="all"/>
      </w:r>
      <w:r>
        <w:rPr>
          <w:b/>
          <w:bCs/>
          <w:sz w:val="48"/>
        </w:rPr>
        <w:t>of English Language Learners</w:t>
      </w:r>
    </w:p>
    <w:p w:rsidR="00000000" w:rsidRDefault="004962CC">
      <w:pPr>
        <w:pStyle w:val="Heading1"/>
        <w:spacing w:after="0"/>
        <w:ind w:left="1627"/>
        <w:rPr>
          <w:spacing w:val="4"/>
          <w:sz w:val="32"/>
        </w:rPr>
      </w:pPr>
      <w:r>
        <w:rPr>
          <w:sz w:val="32"/>
        </w:rPr>
        <w:t>Observation Guide</w:t>
      </w:r>
    </w:p>
    <w:p w:rsidR="00000000" w:rsidRDefault="004962CC">
      <w:pPr>
        <w:tabs>
          <w:tab w:val="left" w:pos="6390"/>
          <w:tab w:val="left" w:pos="12060"/>
        </w:tabs>
        <w:spacing w:before="160"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219075</wp:posOffset>
                </wp:positionV>
                <wp:extent cx="3581400" cy="0"/>
                <wp:effectExtent l="8890" t="15875" r="29210" b="22225"/>
                <wp:wrapNone/>
                <wp:docPr id="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7.25pt" to="317.7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zCix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226695</wp:posOffset>
                </wp:positionV>
                <wp:extent cx="1114425" cy="0"/>
                <wp:effectExtent l="8890" t="10795" r="19685" b="27305"/>
                <wp:wrapNone/>
                <wp:docPr id="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7pt,17.85pt" to="714.45pt,1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217170</wp:posOffset>
                </wp:positionV>
                <wp:extent cx="3171825" cy="0"/>
                <wp:effectExtent l="12065" t="13970" r="29210" b="24130"/>
                <wp:wrapNone/>
                <wp:docPr id="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5pt,17.1pt" to="599.7pt,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Teacher: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bookmarkEnd w:id="0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Mentor: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Date: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000000" w:rsidRDefault="004962CC">
      <w:pPr>
        <w:tabs>
          <w:tab w:val="left" w:pos="6390"/>
          <w:tab w:val="left" w:pos="6480"/>
          <w:tab w:val="left" w:pos="7830"/>
          <w:tab w:val="left" w:pos="10350"/>
        </w:tabs>
        <w:spacing w:before="160"/>
        <w:ind w:right="-23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118745</wp:posOffset>
                </wp:positionV>
                <wp:extent cx="1552575" cy="0"/>
                <wp:effectExtent l="19050" t="17145" r="28575" b="20955"/>
                <wp:wrapNone/>
                <wp:docPr id="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5pt,9.35pt" to="714.7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GlihMCAAAq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Grade Level/Subject Area: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Lesson Topic: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Content Standard: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</w:p>
    <w:p w:rsidR="00000000" w:rsidRDefault="004962CC">
      <w:pPr>
        <w:tabs>
          <w:tab w:val="left" w:pos="5400"/>
          <w:tab w:val="left" w:pos="7830"/>
          <w:tab w:val="lef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1905</wp:posOffset>
                </wp:positionV>
                <wp:extent cx="1771650" cy="0"/>
                <wp:effectExtent l="15875" t="14605" r="28575" b="23495"/>
                <wp:wrapNone/>
                <wp:docPr id="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5pt,.15pt" to="516.7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UkYxQCAAAq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1905</wp:posOffset>
                </wp:positionV>
                <wp:extent cx="2676525" cy="0"/>
                <wp:effectExtent l="12065" t="14605" r="29210" b="23495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.15pt" to="317.7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"/>
            </w:pict>
          </mc:Fallback>
        </mc:AlternateContent>
      </w:r>
    </w:p>
    <w:p w:rsidR="00000000" w:rsidRDefault="004962CC">
      <w:pPr>
        <w:tabs>
          <w:tab w:val="left" w:pos="5400"/>
          <w:tab w:val="left" w:pos="7830"/>
          <w:tab w:val="left" w:pos="10800"/>
        </w:tabs>
        <w:spacing w:before="210" w:after="210"/>
        <w:rPr>
          <w:rFonts w:ascii="Arial" w:hAnsi="Arial" w:cs="Arial"/>
          <w:sz w:val="18"/>
          <w:szCs w:val="18"/>
        </w:rPr>
        <w:sectPr w:rsidR="00000000">
          <w:headerReference w:type="default" r:id="rId9"/>
          <w:footerReference w:type="default" r:id="rId10"/>
          <w:footerReference w:type="first" r:id="rId11"/>
          <w:type w:val="continuous"/>
          <w:pgSz w:w="15840" w:h="12240" w:orient="landscape" w:code="1"/>
          <w:pgMar w:top="864" w:right="907" w:bottom="720" w:left="720" w:header="720" w:footer="720" w:gutter="0"/>
          <w:cols w:space="0"/>
          <w:docGrid w:linePitch="360"/>
        </w:sectPr>
      </w:pPr>
    </w:p>
    <w:p w:rsidR="00000000" w:rsidRDefault="004962CC">
      <w:pPr>
        <w:tabs>
          <w:tab w:val="left" w:pos="5400"/>
          <w:tab w:val="left" w:pos="7830"/>
          <w:tab w:val="left" w:pos="10800"/>
        </w:tabs>
        <w:rPr>
          <w:rFonts w:ascii="Arial" w:hAnsi="Arial" w:cs="Arial"/>
          <w:sz w:val="8"/>
          <w:szCs w:val="18"/>
        </w:rPr>
      </w:pPr>
    </w:p>
    <w:tbl>
      <w:tblPr>
        <w:tblW w:w="0" w:type="auto"/>
        <w:tblInd w:w="108" w:type="dxa"/>
        <w:tblBorders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637"/>
        <w:gridCol w:w="2963"/>
      </w:tblGrid>
      <w:tr w:rsidR="00000000">
        <w:trPr>
          <w:cantSplit/>
          <w:trHeight w:val="394"/>
        </w:trPr>
        <w:tc>
          <w:tcPr>
            <w:tcW w:w="1620" w:type="dxa"/>
            <w:tcMar>
              <w:top w:w="58" w:type="dxa"/>
              <w:left w:w="115" w:type="dxa"/>
              <w:right w:w="115" w:type="dxa"/>
            </w:tcMar>
            <w:vAlign w:val="center"/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Strategies (Overarching Practice)</w:t>
            </w:r>
          </w:p>
        </w:tc>
        <w:tc>
          <w:tcPr>
            <w:tcW w:w="9637" w:type="dxa"/>
            <w:tcMar>
              <w:top w:w="58" w:type="dxa"/>
              <w:left w:w="115" w:type="dxa"/>
              <w:right w:w="115" w:type="dxa"/>
            </w:tcMar>
            <w:vAlign w:val="center"/>
          </w:tcPr>
          <w:p w:rsidR="00000000" w:rsidRDefault="004962CC">
            <w:pPr>
              <w:tabs>
                <w:tab w:val="num" w:pos="335"/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Instructional ACTIVITIES and resources that develop adolescents' content knowledge and academic language, i.e.,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 w:type="textWrapping" w:clear="all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their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academic literacy</w:t>
            </w:r>
          </w:p>
          <w:p w:rsidR="00000000" w:rsidRDefault="004962CC">
            <w:pPr>
              <w:tabs>
                <w:tab w:val="num" w:pos="335"/>
                <w:tab w:val="left" w:pos="5880"/>
                <w:tab w:val="left" w:pos="8520"/>
              </w:tabs>
              <w:spacing w:after="20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The teacher...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pStyle w:val="Heading4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Evidence of Teacher </w:t>
            </w:r>
            <w:r>
              <w:rPr>
                <w:color w:val="auto"/>
                <w:sz w:val="16"/>
              </w:rPr>
              <w:t>Implementation and/or Student Engagement</w:t>
            </w:r>
          </w:p>
        </w:tc>
      </w:tr>
      <w:tr w:rsidR="00000000">
        <w:trPr>
          <w:cantSplit/>
          <w:trHeight w:val="354"/>
        </w:trPr>
        <w:tc>
          <w:tcPr>
            <w:tcW w:w="1620" w:type="dxa"/>
            <w:tcMar>
              <w:top w:w="58" w:type="dxa"/>
            </w:tcMar>
          </w:tcPr>
          <w:p w:rsidR="00000000" w:rsidRDefault="004962CC">
            <w:pPr>
              <w:tabs>
                <w:tab w:val="num" w:pos="335"/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#1 Vocabulary and Language Development</w:t>
            </w:r>
          </w:p>
        </w:tc>
        <w:tc>
          <w:tcPr>
            <w:tcW w:w="9637" w:type="dxa"/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Introduces topic by teaching essential vocabulary </w:t>
            </w:r>
            <w:r>
              <w:rPr>
                <w:rFonts w:ascii="Arial" w:hAnsi="Arial" w:cs="Arial"/>
                <w:i/>
                <w:iCs/>
                <w:sz w:val="14"/>
              </w:rPr>
              <w:t>before</w:t>
            </w:r>
            <w:r>
              <w:rPr>
                <w:rFonts w:ascii="Arial" w:hAnsi="Arial" w:cs="Arial"/>
                <w:sz w:val="14"/>
              </w:rPr>
              <w:t xml:space="preserve"> students engage in text or task; clarifies unfamiliar phrases, idioms, cultural references, keywords</w:t>
            </w:r>
            <w:r>
              <w:rPr>
                <w:rFonts w:ascii="Arial" w:hAnsi="Arial" w:cs="Arial"/>
                <w:sz w:val="14"/>
              </w:rPr>
              <w:t xml:space="preserve"> with multiple meanings; uses a variety of ways to teach word meanings, e.g. compares academic words to student-friendly synonyms</w:t>
            </w:r>
            <w:r>
              <w:rPr>
                <w:rFonts w:ascii="Arial" w:hAnsi="Arial" w:cs="Arial"/>
                <w:sz w:val="14"/>
              </w:rPr>
              <w:br w:type="textWrapping" w:clear="all"/>
            </w:r>
            <w:r>
              <w:rPr>
                <w:rFonts w:ascii="Arial" w:hAnsi="Arial" w:cs="Arial"/>
                <w:sz w:val="14"/>
              </w:rPr>
              <w:t>or cognates, uses "concept webs" to show relationships among concepts; analyzes prefix, root word, suffix, and/or clarifies wo</w:t>
            </w:r>
            <w:r>
              <w:rPr>
                <w:rFonts w:ascii="Arial" w:hAnsi="Arial" w:cs="Arial"/>
                <w:sz w:val="14"/>
              </w:rPr>
              <w:t>rd use in context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Provides instruction for pivotal high-utility academic terms, sentence structures or writing applications linked to key text excerpts; differentiates language instruction per pre-assessed</w:t>
            </w:r>
            <w:r>
              <w:rPr>
                <w:rFonts w:ascii="Arial" w:hAnsi="Arial" w:cs="Arial"/>
                <w:sz w:val="14"/>
                <w:vertAlign w:val="superscript"/>
              </w:rPr>
              <w:t>1</w:t>
            </w:r>
            <w:r>
              <w:rPr>
                <w:rFonts w:ascii="Arial" w:hAnsi="Arial" w:cs="Arial"/>
                <w:sz w:val="14"/>
              </w:rPr>
              <w:t xml:space="preserve"> stages of students' ELD, readin</w:t>
            </w:r>
            <w:r>
              <w:rPr>
                <w:rFonts w:ascii="Arial" w:hAnsi="Arial" w:cs="Arial"/>
                <w:sz w:val="14"/>
              </w:rPr>
              <w:t>g levels, and/or depth of students' prerequisite background knowledge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3"/>
          </w:p>
        </w:tc>
      </w:tr>
      <w:tr w:rsidR="00000000">
        <w:trPr>
          <w:cantSplit/>
          <w:trHeight w:val="759"/>
        </w:trPr>
        <w:tc>
          <w:tcPr>
            <w:tcW w:w="1620" w:type="dxa"/>
            <w:tcMar>
              <w:top w:w="58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#2 Explicit Instruction</w:t>
            </w:r>
          </w:p>
        </w:tc>
        <w:tc>
          <w:tcPr>
            <w:tcW w:w="9637" w:type="dxa"/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</w:rPr>
              <w:t>Intentionally identifies subject-specific academic language skills, and rationale for using certain meta-cognitive reading processes (e.g. identifying the purpose and meaning of a a specific passage, word p</w:t>
            </w:r>
            <w:r>
              <w:rPr>
                <w:rFonts w:ascii="Arial" w:hAnsi="Arial" w:cs="Arial"/>
                <w:spacing w:val="-2"/>
                <w:sz w:val="14"/>
              </w:rPr>
              <w:t>roblem, graph, timeline, lab procedurre, anecdote, word analysis, different forms of "talking to text")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Clarifies steps for each meta-cognitive process, e.g. how to summarize, compare, solve for, classify, analyze, interpret, or evaluate </w:t>
            </w:r>
            <w:r>
              <w:rPr>
                <w:rFonts w:ascii="Arial" w:hAnsi="Arial" w:cs="Arial"/>
                <w:sz w:val="14"/>
              </w:rPr>
              <w:t>specific to the subject, concept, and applications described in text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Previews key ideas, explains and models how to specifically "think like a (historian, mathematician, literary analyst, or scientist...)" when reading, e.g. how to interp</w:t>
            </w:r>
            <w:r>
              <w:rPr>
                <w:rFonts w:ascii="Arial" w:hAnsi="Arial" w:cs="Arial"/>
                <w:sz w:val="14"/>
              </w:rPr>
              <w:t>ret: structural features of text, including directions, graphics, appendices; interpreting pivotal phrases, references to prerequisite concepts, literary elements, past events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4"/>
          </w:p>
        </w:tc>
      </w:tr>
      <w:tr w:rsidR="00000000">
        <w:trPr>
          <w:cantSplit/>
          <w:trHeight w:val="759"/>
        </w:trPr>
        <w:tc>
          <w:tcPr>
            <w:tcW w:w="1620" w:type="dxa"/>
            <w:tcMar>
              <w:top w:w="58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#3 Modeling, Visuals, and Graphic Organizers</w:t>
            </w:r>
          </w:p>
        </w:tc>
        <w:tc>
          <w:tcPr>
            <w:tcW w:w="9637" w:type="dxa"/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Provides models, nonlinguistic representations, or demonstrations of key concepts; visuals are comprehensible w/minimal explanation,</w:t>
            </w:r>
            <w:r>
              <w:rPr>
                <w:rFonts w:ascii="Arial" w:hAnsi="Arial" w:cs="Arial"/>
                <w:sz w:val="14"/>
              </w:rPr>
              <w:br w:type="textWrapping" w:clear="all"/>
            </w:r>
            <w:r>
              <w:rPr>
                <w:rFonts w:ascii="Arial" w:hAnsi="Arial" w:cs="Arial"/>
                <w:sz w:val="14"/>
              </w:rPr>
              <w:t>and/or are labeled effectively; graphic organizers or student notetaking guides highlight essential concepts and relati</w:t>
            </w:r>
            <w:r>
              <w:rPr>
                <w:rFonts w:ascii="Arial" w:hAnsi="Arial" w:cs="Arial"/>
                <w:sz w:val="14"/>
              </w:rPr>
              <w:t>onships or hierarchies</w:t>
            </w:r>
            <w:r>
              <w:rPr>
                <w:rFonts w:ascii="Arial" w:hAnsi="Arial" w:cs="Arial"/>
                <w:sz w:val="14"/>
              </w:rPr>
              <w:br w:type="textWrapping" w:clear="all"/>
            </w:r>
            <w:r>
              <w:rPr>
                <w:rFonts w:ascii="Arial" w:hAnsi="Arial" w:cs="Arial"/>
                <w:sz w:val="14"/>
              </w:rPr>
              <w:t>among main and supporting ideas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Provides students w/copies of featured text; if talking at length, simultaneously displays examples, outline, or concept map of ideas being</w:t>
            </w:r>
            <w:r>
              <w:rPr>
                <w:rFonts w:ascii="Arial" w:hAnsi="Arial" w:cs="Arial"/>
                <w:sz w:val="14"/>
              </w:rPr>
              <w:br w:type="textWrapping" w:clear="all"/>
            </w:r>
            <w:r>
              <w:rPr>
                <w:rFonts w:ascii="Arial" w:hAnsi="Arial" w:cs="Arial"/>
                <w:sz w:val="14"/>
              </w:rPr>
              <w:t>presented on a Smart Board, PowerPoint slid</w:t>
            </w:r>
            <w:r>
              <w:rPr>
                <w:rFonts w:ascii="Arial" w:hAnsi="Arial" w:cs="Arial"/>
                <w:sz w:val="14"/>
              </w:rPr>
              <w:t>e, overhead transparency, or whiteboard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00000">
        <w:trPr>
          <w:cantSplit/>
          <w:trHeight w:val="759"/>
        </w:trPr>
        <w:tc>
          <w:tcPr>
            <w:tcW w:w="1620" w:type="dxa"/>
            <w:tcMar>
              <w:top w:w="58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#4 Guided Interaction</w:t>
            </w:r>
          </w:p>
        </w:tc>
        <w:tc>
          <w:tcPr>
            <w:tcW w:w="9637" w:type="dxa"/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Articulates content and language outcomes for each lesson to increase students' attention to concepts and subject-specific speaking, listening, reading and</w:t>
            </w:r>
            <w:r>
              <w:rPr>
                <w:rFonts w:ascii="Arial" w:hAnsi="Arial" w:cs="Arial"/>
                <w:sz w:val="14"/>
              </w:rPr>
              <w:t xml:space="preserve"> writing proficiencies needed to learn the concepts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Structures whole group and *smaller flexible group interactions with pivotal text (*sometimes by student interest, learning styles, literacy proficiencies); also provides culturally and </w:t>
            </w:r>
            <w:r>
              <w:rPr>
                <w:rFonts w:ascii="Arial" w:hAnsi="Arial" w:cs="Arial"/>
                <w:sz w:val="14"/>
              </w:rPr>
              <w:t>linguistically responsive resources, or prompts that increase students' access to text concepts, academic discourse with peers, and probabiliy of task completion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00000">
        <w:trPr>
          <w:cantSplit/>
          <w:trHeight w:val="759"/>
        </w:trPr>
        <w:tc>
          <w:tcPr>
            <w:tcW w:w="1620" w:type="dxa"/>
            <w:tcMar>
              <w:top w:w="58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#5 Meaningful Contextualization</w:t>
            </w:r>
          </w:p>
        </w:tc>
        <w:tc>
          <w:tcPr>
            <w:tcW w:w="9637" w:type="dxa"/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Makes new concepts and related lexicon comprehensible by introducing or contextualizing them via demonstration, culturally and linguistically-relevant supplemental text, related anecdotes, metaphors</w:t>
            </w:r>
            <w:r>
              <w:rPr>
                <w:rFonts w:ascii="Arial" w:hAnsi="Arial" w:cs="Arial"/>
                <w:sz w:val="14"/>
              </w:rPr>
              <w:t xml:space="preserve">, quotes, current events, prompts, examples, problems, life situations, visuals, references, </w:t>
            </w:r>
            <w:r>
              <w:rPr>
                <w:rFonts w:ascii="Arial" w:hAnsi="Arial" w:cs="Arial"/>
                <w:i/>
                <w:iCs/>
                <w:sz w:val="14"/>
              </w:rPr>
              <w:t>realia,</w:t>
            </w:r>
            <w:r>
              <w:rPr>
                <w:rFonts w:ascii="Arial" w:hAnsi="Arial" w:cs="Arial"/>
                <w:sz w:val="14"/>
              </w:rPr>
              <w:t xml:space="preserve"> video, web sources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Elicits students' prior knowledge; connects new academic concepts to pre-assessed student interests, their sociocultur</w:t>
            </w:r>
            <w:r>
              <w:rPr>
                <w:rFonts w:ascii="Arial" w:hAnsi="Arial" w:cs="Arial"/>
                <w:sz w:val="14"/>
              </w:rPr>
              <w:t>al contexts, analogous life experiences as well as students' current level of background knowledge linked to new concepts; related tasks springboard student engagement</w:t>
            </w:r>
            <w:r>
              <w:rPr>
                <w:rFonts w:ascii="Arial" w:hAnsi="Arial" w:cs="Arial"/>
                <w:sz w:val="14"/>
              </w:rPr>
              <w:br w:type="textWrapping" w:clear="all"/>
            </w:r>
            <w:r>
              <w:rPr>
                <w:rFonts w:ascii="Arial" w:hAnsi="Arial" w:cs="Arial"/>
                <w:sz w:val="14"/>
              </w:rPr>
              <w:t>and persistence in new learning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  <w:tr w:rsidR="00000000">
        <w:trPr>
          <w:cantSplit/>
          <w:trHeight w:val="1029"/>
        </w:trPr>
        <w:tc>
          <w:tcPr>
            <w:tcW w:w="1620" w:type="dxa"/>
            <w:tcMar>
              <w:top w:w="58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#6 Meta-cognitive Reading Processes</w:t>
            </w:r>
          </w:p>
        </w:tc>
        <w:tc>
          <w:tcPr>
            <w:tcW w:w="9637" w:type="dxa"/>
          </w:tcPr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4"/>
              </w:rPr>
              <w:t>Demonstrates appropriate meta-cognitive reading processes linked to the lesson, i.e. before, during, and after reading comprehension strategies; teaches strategies for predicting, summarizing, a</w:t>
            </w:r>
            <w:r>
              <w:rPr>
                <w:rFonts w:ascii="Arial" w:hAnsi="Arial" w:cs="Arial"/>
                <w:spacing w:val="-4"/>
                <w:sz w:val="14"/>
              </w:rPr>
              <w:t xml:space="preserve">nalyzing, evaluating, etc. through a variety of activities e.g. </w:t>
            </w:r>
            <w:r>
              <w:rPr>
                <w:rFonts w:ascii="Arial" w:hAnsi="Arial" w:cs="Arial"/>
                <w:i/>
                <w:iCs/>
                <w:spacing w:val="-4"/>
                <w:sz w:val="14"/>
              </w:rPr>
              <w:t>Questioning the Author, Question-Answer-Relationship, Reciprocal Teaching-Plus, Think-Aloud, Instrucational Read-Aloud, K-W-L, SQR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vertAlign w:val="subscript"/>
              </w:rPr>
              <w:t>3</w:t>
            </w:r>
            <w:r>
              <w:rPr>
                <w:rFonts w:ascii="Arial" w:hAnsi="Arial" w:cs="Arial"/>
                <w:i/>
                <w:iCs/>
                <w:spacing w:val="-4"/>
                <w:sz w:val="14"/>
              </w:rPr>
              <w:t>, DRTA, Main Idea Mapping, Double Entry Journal, Cornell Note</w:t>
            </w:r>
            <w:r>
              <w:rPr>
                <w:rFonts w:ascii="Arial" w:hAnsi="Arial" w:cs="Arial"/>
                <w:i/>
                <w:iCs/>
                <w:spacing w:val="-4"/>
                <w:sz w:val="14"/>
              </w:rPr>
              <w:t>-taking</w:t>
            </w:r>
          </w:p>
          <w:p w:rsidR="00000000" w:rsidRDefault="004962CC">
            <w:pPr>
              <w:tabs>
                <w:tab w:val="left" w:pos="5880"/>
                <w:tab w:val="left" w:pos="8520"/>
              </w:tabs>
              <w:spacing w:after="20"/>
              <w:ind w:left="259" w:hanging="25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Facilitates tasks that apply these meta-cognitive strategies and activities so students may demonstrate and assess current understanding of concepts and literacy skills</w:t>
            </w:r>
          </w:p>
        </w:tc>
        <w:tc>
          <w:tcPr>
            <w:tcW w:w="2963" w:type="dxa"/>
            <w:tcMar>
              <w:top w:w="58" w:type="dxa"/>
              <w:left w:w="115" w:type="dxa"/>
              <w:right w:w="115" w:type="dxa"/>
            </w:tcMar>
          </w:tcPr>
          <w:p w:rsidR="00000000" w:rsidRDefault="004962CC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t> </w:t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</w:p>
        </w:tc>
      </w:tr>
    </w:tbl>
    <w:p w:rsidR="00000000" w:rsidRDefault="004962CC">
      <w:pPr>
        <w:tabs>
          <w:tab w:val="left" w:pos="5880"/>
          <w:tab w:val="left" w:pos="8520"/>
        </w:tabs>
        <w:spacing w:before="40"/>
        <w:rPr>
          <w:rFonts w:ascii="Arial" w:hAnsi="Arial" w:cs="Arial"/>
          <w:sz w:val="16"/>
          <w:szCs w:val="20"/>
          <w:vertAlign w:val="superscript"/>
        </w:rPr>
      </w:pPr>
    </w:p>
    <w:p w:rsidR="004962CC" w:rsidRDefault="004962CC">
      <w:pPr>
        <w:tabs>
          <w:tab w:val="left" w:pos="5880"/>
          <w:tab w:val="left" w:pos="852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  <w:vertAlign w:val="superscript"/>
        </w:rPr>
        <w:t>1</w:t>
      </w:r>
      <w:r>
        <w:rPr>
          <w:rFonts w:ascii="Arial" w:hAnsi="Arial" w:cs="Arial"/>
          <w:sz w:val="16"/>
          <w:szCs w:val="20"/>
        </w:rPr>
        <w:t xml:space="preserve"> Lesson design and delivery that reflects pre-assessment of students' multifaceted dimensions increases transfer of new concepts and academic language.</w:t>
      </w:r>
    </w:p>
    <w:sectPr w:rsidR="004962CC">
      <w:type w:val="continuous"/>
      <w:pgSz w:w="15840" w:h="12240" w:orient="landscape" w:code="1"/>
      <w:pgMar w:top="864" w:right="90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CC" w:rsidRDefault="004962CC">
      <w:r>
        <w:separator/>
      </w:r>
    </w:p>
  </w:endnote>
  <w:endnote w:type="continuationSeparator" w:id="0">
    <w:p w:rsidR="004962CC" w:rsidRDefault="0049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2CC">
    <w:pPr>
      <w:pStyle w:val="Footer"/>
      <w:shd w:val="clear" w:color="auto" w:fill="000000"/>
      <w:tabs>
        <w:tab w:val="clear" w:pos="4320"/>
        <w:tab w:val="clear" w:pos="8640"/>
        <w:tab w:val="right" w:pos="13860"/>
      </w:tabs>
      <w:rPr>
        <w:sz w:val="16"/>
        <w:szCs w:val="16"/>
      </w:rPr>
    </w:pPr>
    <w:r>
      <w:rPr>
        <w:rFonts w:ascii="Arial" w:hAnsi="Arial" w:cs="Arial"/>
        <w:color w:val="FFFFFF"/>
        <w:sz w:val="12"/>
        <w:szCs w:val="12"/>
      </w:rPr>
      <w:t>PARTICIPATING TEACHER • MENTOR</w:t>
    </w:r>
    <w:r>
      <w:rPr>
        <w:rFonts w:ascii="Arial" w:hAnsi="Arial" w:cs="Arial"/>
        <w:color w:val="FFFFFF"/>
        <w:sz w:val="16"/>
        <w:szCs w:val="16"/>
      </w:rPr>
      <w:tab/>
    </w:r>
    <w:r>
      <w:rPr>
        <w:rFonts w:ascii="Arial" w:hAnsi="Arial" w:cs="Arial"/>
        <w:color w:val="FFFFFF"/>
        <w:sz w:val="12"/>
        <w:szCs w:val="12"/>
      </w:rPr>
      <w:t xml:space="preserve">2004, 2007, 2008, 2009, </w:t>
    </w:r>
    <w:r>
      <w:rPr>
        <w:rFonts w:ascii="Arial" w:hAnsi="Arial" w:cs="Arial"/>
        <w:color w:val="FFFFFF"/>
        <w:sz w:val="12"/>
        <w:szCs w:val="12"/>
      </w:rPr>
      <w:t>2010 New Teacher Center.  Do not reproduce without permission.  TL-SKSELL-USCA-1003-EN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2CC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Distribution: New Teacher, Advisor</w:t>
    </w:r>
    <w:r>
      <w:rPr>
        <w:sz w:val="16"/>
        <w:szCs w:val="16"/>
      </w:rPr>
      <w:tab/>
    </w:r>
    <w:r>
      <w:rPr>
        <w:sz w:val="16"/>
        <w:szCs w:val="16"/>
      </w:rPr>
      <w:tab/>
      <w:t>Copyright © Santa Cruz New Teacher Project   6/02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CC" w:rsidRDefault="004962CC">
      <w:r>
        <w:separator/>
      </w:r>
    </w:p>
  </w:footnote>
  <w:footnote w:type="continuationSeparator" w:id="0">
    <w:p w:rsidR="004962CC" w:rsidRDefault="00496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2CC">
    <w:pPr>
      <w:pStyle w:val="Header"/>
      <w:rPr>
        <w:spacing w:val="90"/>
        <w:sz w:val="22"/>
      </w:rPr>
    </w:pPr>
    <w:r>
      <w:rPr>
        <w:rFonts w:ascii="Arial" w:hAnsi="Arial" w:cs="Arial"/>
        <w:spacing w:val="90"/>
        <w:sz w:val="14"/>
        <w:szCs w:val="16"/>
      </w:rPr>
      <w:t>FORMATIVE ASSESSMENT TOOL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91A"/>
    <w:multiLevelType w:val="hybridMultilevel"/>
    <w:tmpl w:val="F1E43FC0"/>
    <w:lvl w:ilvl="0" w:tplc="81A28AF0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1">
    <w:nsid w:val="3DAB1C27"/>
    <w:multiLevelType w:val="hybridMultilevel"/>
    <w:tmpl w:val="F1E43FC0"/>
    <w:lvl w:ilvl="0" w:tplc="FC1C491E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j82ANv+ZuDFPNONvSwwH1sRwPXw=" w:salt="jPQK5DAflVCL8FbBHTTUf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CC"/>
    <w:rsid w:val="004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90"/>
      <w:ind w:left="1560"/>
      <w:outlineLvl w:val="0"/>
    </w:pPr>
    <w:rPr>
      <w:rFonts w:ascii="Arial" w:hAnsi="Arial" w:cs="Arial"/>
      <w:sz w:val="38"/>
      <w:szCs w:val="36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11400"/>
      </w:tabs>
      <w:ind w:left="162"/>
      <w:outlineLvl w:val="2"/>
    </w:pPr>
    <w:rPr>
      <w:rFonts w:ascii="Arial" w:hAnsi="Arial" w:cs="Arial"/>
      <w:b/>
      <w:bCs/>
      <w:sz w:val="16"/>
      <w:szCs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5880"/>
        <w:tab w:val="left" w:pos="8520"/>
      </w:tabs>
      <w:jc w:val="center"/>
      <w:outlineLvl w:val="3"/>
    </w:pPr>
    <w:rPr>
      <w:rFonts w:ascii="Arial" w:hAnsi="Arial" w:cs="Arial"/>
      <w:b/>
      <w:bCs/>
      <w:color w:val="FFFFFF"/>
      <w:szCs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5880"/>
        <w:tab w:val="left" w:pos="8520"/>
      </w:tabs>
      <w:ind w:left="155"/>
      <w:outlineLvl w:val="4"/>
    </w:pPr>
    <w:rPr>
      <w:rFonts w:ascii="Arial" w:hAnsi="Arial" w:cs="Arial"/>
      <w:b/>
      <w:bCs/>
      <w:szCs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pacing w:val="76"/>
      <w:kern w:val="80"/>
      <w:sz w:val="60"/>
    </w:rPr>
  </w:style>
  <w:style w:type="paragraph" w:styleId="Heading7">
    <w:name w:val="heading 7"/>
    <w:basedOn w:val="Normal"/>
    <w:next w:val="Normal"/>
    <w:qFormat/>
    <w:pPr>
      <w:keepNext/>
      <w:tabs>
        <w:tab w:val="left" w:pos="5880"/>
        <w:tab w:val="left" w:pos="8520"/>
      </w:tabs>
      <w:spacing w:after="60"/>
      <w:ind w:left="162"/>
      <w:outlineLvl w:val="6"/>
    </w:pPr>
    <w:rPr>
      <w:rFonts w:ascii="Arial" w:hAnsi="Arial" w:cs="Arial"/>
      <w:b/>
      <w:bCs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90"/>
      <w:ind w:left="1560"/>
      <w:outlineLvl w:val="0"/>
    </w:pPr>
    <w:rPr>
      <w:rFonts w:ascii="Arial" w:hAnsi="Arial" w:cs="Arial"/>
      <w:sz w:val="38"/>
      <w:szCs w:val="36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11400"/>
      </w:tabs>
      <w:ind w:left="162"/>
      <w:outlineLvl w:val="2"/>
    </w:pPr>
    <w:rPr>
      <w:rFonts w:ascii="Arial" w:hAnsi="Arial" w:cs="Arial"/>
      <w:b/>
      <w:bCs/>
      <w:sz w:val="16"/>
      <w:szCs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5880"/>
        <w:tab w:val="left" w:pos="8520"/>
      </w:tabs>
      <w:jc w:val="center"/>
      <w:outlineLvl w:val="3"/>
    </w:pPr>
    <w:rPr>
      <w:rFonts w:ascii="Arial" w:hAnsi="Arial" w:cs="Arial"/>
      <w:b/>
      <w:bCs/>
      <w:color w:val="FFFFFF"/>
      <w:szCs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5880"/>
        <w:tab w:val="left" w:pos="8520"/>
      </w:tabs>
      <w:ind w:left="155"/>
      <w:outlineLvl w:val="4"/>
    </w:pPr>
    <w:rPr>
      <w:rFonts w:ascii="Arial" w:hAnsi="Arial" w:cs="Arial"/>
      <w:b/>
      <w:bCs/>
      <w:szCs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pacing w:val="76"/>
      <w:kern w:val="80"/>
      <w:sz w:val="60"/>
    </w:rPr>
  </w:style>
  <w:style w:type="paragraph" w:styleId="Heading7">
    <w:name w:val="heading 7"/>
    <w:basedOn w:val="Normal"/>
    <w:next w:val="Normal"/>
    <w:qFormat/>
    <w:pPr>
      <w:keepNext/>
      <w:tabs>
        <w:tab w:val="left" w:pos="5880"/>
        <w:tab w:val="left" w:pos="8520"/>
      </w:tabs>
      <w:spacing w:after="60"/>
      <w:ind w:left="162"/>
      <w:outlineLvl w:val="6"/>
    </w:pPr>
    <w:rPr>
      <w:rFonts w:ascii="Arial" w:hAnsi="Arial" w:cs="Arial"/>
      <w:b/>
      <w:bCs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turner:Desktop:Mentor/Peer%20Coach%20Docs:Mentor%20tools%20and%20resources:Six%20Key%20Strategies%20for%20Secondary%20Teachers%20of%20English%20Language%20Learn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Six Key Strategies for Secondary Teachers of English Language Learners.dot</Template>
  <TotalTime>1</TotalTime>
  <Pages>1</Pages>
  <Words>775</Words>
  <Characters>4418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Key Strategies for Secondary Teachers of English Language Learners</vt:lpstr>
    </vt:vector>
  </TitlesOfParts>
  <Company>NTC</Company>
  <LinksUpToDate>false</LinksUpToDate>
  <CharactersWithSpaces>5183</CharactersWithSpaces>
  <SharedDoc>false</SharedDoc>
  <HLinks>
    <vt:vector size="6" baseType="variant">
      <vt:variant>
        <vt:i4>8323170</vt:i4>
      </vt:variant>
      <vt:variant>
        <vt:i4>-1</vt:i4>
      </vt:variant>
      <vt:variant>
        <vt:i4>1160</vt:i4>
      </vt:variant>
      <vt:variant>
        <vt:i4>1</vt:i4>
      </vt:variant>
      <vt:variant>
        <vt:lpwstr>ntclogo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Key Strategies for Secondary Teachers of English Language Learners</dc:title>
  <dc:subject/>
  <dc:creator>Katherine Turner</dc:creator>
  <cp:keywords/>
  <dc:description/>
  <cp:lastModifiedBy>Katherine Turner</cp:lastModifiedBy>
  <cp:revision>1</cp:revision>
  <cp:lastPrinted>1601-01-01T00:00:00Z</cp:lastPrinted>
  <dcterms:created xsi:type="dcterms:W3CDTF">2016-02-19T20:40:00Z</dcterms:created>
  <dcterms:modified xsi:type="dcterms:W3CDTF">2016-02-19T20:41:00Z</dcterms:modified>
</cp:coreProperties>
</file>